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39C" w:rsidRDefault="00A7039C" w:rsidP="00A7039C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noProof/>
          <w:color w:val="1B8BE0"/>
          <w:sz w:val="23"/>
          <w:szCs w:val="23"/>
        </w:rPr>
        <w:drawing>
          <wp:inline distT="0" distB="0" distL="0" distR="0">
            <wp:extent cx="6771581" cy="927706"/>
            <wp:effectExtent l="0" t="0" r="0" b="6350"/>
            <wp:docPr id="1" name="Kép 1" descr="MANYE jó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YE jó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534" cy="929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39C" w:rsidRDefault="00A7039C" w:rsidP="00A7039C">
      <w:pPr>
        <w:pStyle w:val="NormlWeb"/>
        <w:spacing w:after="390" w:afterAutospacing="0" w:line="406" w:lineRule="atLeast"/>
        <w:jc w:val="center"/>
        <w:rPr>
          <w:rFonts w:ascii="Helvetica" w:hAnsi="Helvetica" w:cs="Helvetica"/>
          <w:color w:val="333333"/>
          <w:sz w:val="23"/>
          <w:szCs w:val="23"/>
        </w:rPr>
      </w:pPr>
      <w:r>
        <w:rPr>
          <w:rStyle w:val="Kiemels2"/>
          <w:rFonts w:ascii="Helvetica" w:hAnsi="Helvetica" w:cs="Helvetica"/>
          <w:color w:val="000000"/>
          <w:sz w:val="23"/>
          <w:szCs w:val="23"/>
        </w:rPr>
        <w:t>XXIII. MAGYAR ALKALMAZOTT NYELVÉSZETI KONGRESSZUS</w:t>
      </w:r>
      <w:r>
        <w:rPr>
          <w:rFonts w:ascii="Helvetica" w:hAnsi="Helvetica" w:cs="Helvetica"/>
          <w:b/>
          <w:bCs/>
          <w:color w:val="000000"/>
          <w:sz w:val="23"/>
          <w:szCs w:val="23"/>
        </w:rPr>
        <w:br/>
      </w:r>
      <w:r>
        <w:rPr>
          <w:rFonts w:ascii="Helvetica" w:hAnsi="Helvetica" w:cs="Helvetica"/>
          <w:color w:val="333333"/>
          <w:sz w:val="23"/>
          <w:szCs w:val="23"/>
        </w:rPr>
        <w:br/>
      </w:r>
      <w:r>
        <w:rPr>
          <w:rStyle w:val="Kiemels"/>
          <w:rFonts w:ascii="Helvetica" w:hAnsi="Helvetica" w:cs="Helvetica"/>
          <w:b/>
          <w:bCs/>
          <w:color w:val="000000"/>
          <w:sz w:val="23"/>
          <w:szCs w:val="23"/>
        </w:rPr>
        <w:t>NYELV – TÁRSADALOM – KULTÚRA</w:t>
      </w:r>
      <w:r>
        <w:rPr>
          <w:rFonts w:ascii="Helvetica" w:hAnsi="Helvetica" w:cs="Helvetica"/>
          <w:color w:val="333333"/>
          <w:sz w:val="23"/>
          <w:szCs w:val="23"/>
        </w:rPr>
        <w:br/>
      </w:r>
      <w:proofErr w:type="spellStart"/>
      <w:r>
        <w:rPr>
          <w:rStyle w:val="Kiemels2"/>
          <w:rFonts w:ascii="Helvetica" w:hAnsi="Helvetica" w:cs="Helvetica"/>
          <w:i/>
          <w:iCs/>
          <w:color w:val="000000"/>
          <w:sz w:val="23"/>
          <w:szCs w:val="23"/>
        </w:rPr>
        <w:t>Interkulturális</w:t>
      </w:r>
      <w:proofErr w:type="spellEnd"/>
      <w:r>
        <w:rPr>
          <w:rStyle w:val="Kiemels2"/>
          <w:rFonts w:ascii="Helvetica" w:hAnsi="Helvetica" w:cs="Helvetica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i/>
          <w:iCs/>
          <w:color w:val="000000"/>
          <w:sz w:val="23"/>
          <w:szCs w:val="23"/>
        </w:rPr>
        <w:t>és</w:t>
      </w:r>
      <w:proofErr w:type="spellEnd"/>
      <w:r>
        <w:rPr>
          <w:rStyle w:val="Kiemels2"/>
          <w:rFonts w:ascii="Helvetica" w:hAnsi="Helvetica" w:cs="Helvetica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i/>
          <w:iCs/>
          <w:color w:val="000000"/>
          <w:sz w:val="23"/>
          <w:szCs w:val="23"/>
        </w:rPr>
        <w:t>multikulturális</w:t>
      </w:r>
      <w:proofErr w:type="spellEnd"/>
      <w:r>
        <w:rPr>
          <w:rStyle w:val="Kiemels2"/>
          <w:rFonts w:ascii="Helvetica" w:hAnsi="Helvetica" w:cs="Helvetica"/>
          <w:i/>
          <w:iCs/>
          <w:color w:val="000000"/>
          <w:sz w:val="23"/>
          <w:szCs w:val="23"/>
        </w:rPr>
        <w:t xml:space="preserve"> </w:t>
      </w:r>
      <w:proofErr w:type="spellStart"/>
      <w:r>
        <w:rPr>
          <w:rStyle w:val="Kiemels2"/>
          <w:rFonts w:ascii="Helvetica" w:hAnsi="Helvetica" w:cs="Helvetica"/>
          <w:i/>
          <w:iCs/>
          <w:color w:val="000000"/>
          <w:sz w:val="23"/>
          <w:szCs w:val="23"/>
        </w:rPr>
        <w:t>perspektívák</w:t>
      </w:r>
      <w:proofErr w:type="spellEnd"/>
      <w:r>
        <w:rPr>
          <w:rFonts w:ascii="Helvetica" w:hAnsi="Helvetica" w:cs="Helvetica"/>
          <w:b/>
          <w:bCs/>
          <w:i/>
          <w:iCs/>
          <w:color w:val="000000"/>
          <w:sz w:val="23"/>
          <w:szCs w:val="23"/>
        </w:rPr>
        <w:br/>
      </w:r>
      <w:r>
        <w:rPr>
          <w:rFonts w:ascii="Helvetica" w:hAnsi="Helvetica" w:cs="Helvetica"/>
          <w:i/>
          <w:iCs/>
          <w:color w:val="000000"/>
          <w:sz w:val="23"/>
          <w:szCs w:val="23"/>
        </w:rPr>
        <w:br/>
      </w:r>
      <w:r>
        <w:rPr>
          <w:rFonts w:ascii="Helvetica" w:hAnsi="Helvetica" w:cs="Helvetica"/>
          <w:color w:val="000000"/>
          <w:sz w:val="23"/>
          <w:szCs w:val="23"/>
        </w:rPr>
        <w:t xml:space="preserve">Budapest, 2013.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március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26-28. </w:t>
      </w:r>
      <w:r>
        <w:rPr>
          <w:rFonts w:ascii="Helvetica" w:hAnsi="Helvetica" w:cs="Helvetica"/>
          <w:color w:val="333333"/>
          <w:sz w:val="23"/>
          <w:szCs w:val="23"/>
        </w:rPr>
        <w:br/>
      </w:r>
      <w:hyperlink r:id="rId7" w:history="1">
        <w:r>
          <w:rPr>
            <w:rStyle w:val="Hiperhivatkozs"/>
            <w:rFonts w:ascii="Helvetica" w:hAnsi="Helvetica" w:cs="Helvetica"/>
            <w:color w:val="1B8BE0"/>
            <w:sz w:val="23"/>
            <w:szCs w:val="23"/>
            <w:u w:val="none"/>
          </w:rPr>
          <w:t>http://manyexxiii.elte.hu/index.html</w:t>
        </w:r>
        <w:r>
          <w:rPr>
            <w:rFonts w:ascii="Helvetica" w:hAnsi="Helvetica" w:cs="Helvetica"/>
            <w:i/>
            <w:iCs/>
            <w:color w:val="1B8BE0"/>
            <w:sz w:val="23"/>
            <w:szCs w:val="23"/>
          </w:rPr>
          <w:br/>
        </w:r>
      </w:hyperlink>
      <w:bookmarkStart w:id="0" w:name="_GoBack"/>
      <w:bookmarkEnd w:id="0"/>
    </w:p>
    <w:p w:rsidR="00A7039C" w:rsidRDefault="00A7039C" w:rsidP="00A7039C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hyperlink r:id="rId8" w:history="1">
        <w:proofErr w:type="spellStart"/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>Programfüzet</w:t>
        </w:r>
        <w:proofErr w:type="spellEnd"/>
      </w:hyperlink>
    </w:p>
    <w:p w:rsidR="00A7039C" w:rsidRDefault="00A7039C" w:rsidP="00A7039C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Style w:val="Kiemels2"/>
          <w:rFonts w:ascii="Helvetica" w:hAnsi="Helvetica" w:cs="Helvetica"/>
          <w:color w:val="000000"/>
          <w:sz w:val="23"/>
          <w:szCs w:val="23"/>
        </w:rPr>
        <w:t>Absztrakt</w:t>
      </w:r>
      <w:proofErr w:type="spellEnd"/>
      <w:r>
        <w:rPr>
          <w:rStyle w:val="Kiemels2"/>
          <w:rFonts w:ascii="Helvetica" w:hAnsi="Helvetica" w:cs="Helvetica"/>
          <w:color w:val="000000"/>
          <w:sz w:val="23"/>
          <w:szCs w:val="23"/>
        </w:rPr>
        <w:t>:</w:t>
      </w:r>
    </w:p>
    <w:p w:rsidR="00A7039C" w:rsidRDefault="00A7039C" w:rsidP="00A7039C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r>
        <w:rPr>
          <w:rFonts w:ascii="Helvetica" w:hAnsi="Helvetica" w:cs="Helvetica"/>
          <w:b/>
          <w:bCs/>
          <w:color w:val="000000"/>
          <w:sz w:val="23"/>
          <w:szCs w:val="23"/>
        </w:rPr>
        <w:t>KONTRÁNÉ HEGYBÍRÓ EDIT</w:t>
      </w:r>
    </w:p>
    <w:p w:rsidR="00A7039C" w:rsidRDefault="00A7039C" w:rsidP="00A7039C">
      <w:pPr>
        <w:pStyle w:val="NormlWeb"/>
        <w:spacing w:after="390" w:afterAutospacing="0" w:line="406" w:lineRule="atLeast"/>
        <w:rPr>
          <w:rFonts w:ascii="Helvetica" w:hAnsi="Helvetica" w:cs="Helvetica"/>
          <w:color w:val="333333"/>
          <w:sz w:val="23"/>
          <w:szCs w:val="23"/>
        </w:rPr>
      </w:pP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fiatalok</w:t>
      </w:r>
      <w:proofErr w:type="spellEnd"/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megnyilvánulásai</w:t>
      </w:r>
      <w:proofErr w:type="spellEnd"/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b/>
          <w:bCs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000000"/>
          <w:sz w:val="23"/>
          <w:szCs w:val="23"/>
        </w:rPr>
        <w:t>anyanyelvről</w:t>
      </w:r>
      <w:proofErr w:type="spellEnd"/>
    </w:p>
    <w:p w:rsidR="00A7039C" w:rsidRDefault="00A7039C" w:rsidP="00A7039C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idegennyelv-elsajátítás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szempontjából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fontos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szerepet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játszik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nyelvtanuló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anyanyelve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fejlettsége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nyelvtanuló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azonban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feltétlenül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azt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tekinti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anyanyelvének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amire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iskolájában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tanítása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épül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tanárok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többsége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kizárólag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hangzó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közvetítéssel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oktatja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angolt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németet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tanulóknak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vagyis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olyan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amelyet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természetes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úton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sajátít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el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kisgyerek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iskolai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tantárgyként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Mire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gyermek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odáig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jut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tanulmányaiban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megkezdje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idegen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tanulását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már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kétnyelvű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bár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valószínűleg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egyik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nyelvét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ismeri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életkorának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megfelelő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szinten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Kutatók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tapasztalatai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szerint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általában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jellemző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siketekre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tudatosult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bennük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saját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kétnyelvűségük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nem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tartják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magukat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kétnyelvűnek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többségi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területén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nincsenek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valamennyi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lastRenderedPageBreak/>
        <w:t>készség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teljes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birtokában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br/>
        <w:t xml:space="preserve">     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Előadásomban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fiatalokkal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folytatott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interjúkból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származó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adatokkal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fogom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bemutatni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hogyan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gondolkodnak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maguk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érintettek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anyanyelvről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Megszólalnak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többgenerációs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siket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családból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származó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fiatalok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és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olyanok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color w:val="000000"/>
          <w:sz w:val="23"/>
          <w:szCs w:val="23"/>
        </w:rPr>
        <w:t>is,</w:t>
      </w:r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akik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halló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szülők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gyermekei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Több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tényező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is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befolyásolja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beszélt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határozzák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-e meg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anyanyelvként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vagy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mind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kettőt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s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milyen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jelentőséget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tulajdonítanak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két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használatának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.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Megnyilvánulásaik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segítenek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eloszlatni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  <w:sz w:val="23"/>
          <w:szCs w:val="23"/>
        </w:rPr>
        <w:t>azt</w:t>
      </w:r>
      <w:proofErr w:type="spellEnd"/>
      <w:proofErr w:type="gram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az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aggodalmat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,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hogy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2009-ben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elfogadott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jelnyelvtörvény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következtében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bevezetendő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jelnyelvi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oktatás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háttérbe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szorítaná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a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hangzó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magyar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nyelv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elsajátítása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iránti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3"/>
          <w:szCs w:val="23"/>
        </w:rPr>
        <w:t>hajlandóságot</w:t>
      </w:r>
      <w:proofErr w:type="spellEnd"/>
      <w:r>
        <w:rPr>
          <w:rFonts w:ascii="Helvetica" w:hAnsi="Helvetica" w:cs="Helvetica"/>
          <w:color w:val="000000"/>
          <w:sz w:val="23"/>
          <w:szCs w:val="23"/>
        </w:rPr>
        <w:t>. </w:t>
      </w:r>
    </w:p>
    <w:p w:rsidR="00A7039C" w:rsidRDefault="00A7039C" w:rsidP="00A7039C">
      <w:pPr>
        <w:pStyle w:val="NormlWeb"/>
        <w:spacing w:after="390" w:afterAutospacing="0" w:line="406" w:lineRule="atLeast"/>
        <w:jc w:val="both"/>
        <w:rPr>
          <w:rFonts w:ascii="Helvetica" w:hAnsi="Helvetica" w:cs="Helvetica"/>
          <w:color w:val="333333"/>
          <w:sz w:val="23"/>
          <w:szCs w:val="23"/>
        </w:rPr>
      </w:pPr>
      <w:hyperlink r:id="rId9" w:history="1">
        <w:proofErr w:type="spellStart"/>
        <w:proofErr w:type="gramStart"/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>letölthető</w:t>
        </w:r>
        <w:proofErr w:type="spellEnd"/>
        <w:proofErr w:type="gramEnd"/>
        <w:r>
          <w:rPr>
            <w:rStyle w:val="Hiperhivatkozs"/>
            <w:rFonts w:ascii="Helvetica" w:hAnsi="Helvetica" w:cs="Helvetica"/>
            <w:b/>
            <w:bCs/>
            <w:color w:val="1B8BE0"/>
            <w:sz w:val="23"/>
            <w:szCs w:val="23"/>
            <w:u w:val="none"/>
          </w:rPr>
          <w:t xml:space="preserve"> pdf</w:t>
        </w:r>
      </w:hyperlink>
    </w:p>
    <w:p w:rsidR="00B90F7E" w:rsidRDefault="00A7039C"/>
    <w:sectPr w:rsidR="00B90F7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9C"/>
    <w:rsid w:val="008B4805"/>
    <w:rsid w:val="00961D83"/>
    <w:rsid w:val="00A7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7039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7039C"/>
    <w:rPr>
      <w:b/>
      <w:bCs/>
    </w:rPr>
  </w:style>
  <w:style w:type="character" w:styleId="Kiemels">
    <w:name w:val="Emphasis"/>
    <w:basedOn w:val="Bekezdsalapbettpusa"/>
    <w:uiPriority w:val="20"/>
    <w:qFormat/>
    <w:rsid w:val="00A7039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A70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A7039C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A7039C"/>
    <w:rPr>
      <w:b/>
      <w:bCs/>
    </w:rPr>
  </w:style>
  <w:style w:type="character" w:styleId="Kiemels">
    <w:name w:val="Emphasis"/>
    <w:basedOn w:val="Bekezdsalapbettpusa"/>
    <w:uiPriority w:val="20"/>
    <w:qFormat/>
    <w:rsid w:val="00A7039C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70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0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ket-nyelvtanulok.elte.hu/wp-content/uploads/MANYE_2013_programfuz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nyexxiii.elte.hu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manyexxiii.elte.hu/index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iket-nyelvtanulok.elte.hu/wp-content/uploads/MANYE-ELTE-2013-Siket-fiatalok_Honlap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Bálint Helga</dc:creator>
  <cp:lastModifiedBy>Bálint Helga</cp:lastModifiedBy>
  <cp:revision>1</cp:revision>
  <dcterms:created xsi:type="dcterms:W3CDTF">2015-09-21T15:59:00Z</dcterms:created>
  <dcterms:modified xsi:type="dcterms:W3CDTF">2015-09-21T16:00:00Z</dcterms:modified>
</cp:coreProperties>
</file>